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FF" w:rsidRDefault="00A907FF" w:rsidP="00A907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Дополнительная образовательная программа спортивной подготовки по виду спорта «Легкая атлетика»</w:t>
      </w:r>
      <w:r>
        <w:rPr>
          <w:rFonts w:ascii="Arial" w:hAnsi="Arial" w:cs="Arial"/>
          <w:color w:val="4C505F"/>
          <w:sz w:val="23"/>
          <w:szCs w:val="23"/>
        </w:rPr>
        <w:t> предназначена для организации образовательной деятельности по спортивной подготовке «легкая атлетика» по спортивной дисциплине многоборье в муниципальном автономном учреждении дополнительного образования «Детско-юношеская спортивная школа «Центр физического развития».</w:t>
      </w:r>
    </w:p>
    <w:p w:rsidR="00A907FF" w:rsidRDefault="00A907FF" w:rsidP="00A907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В программе представлен материал по видам многоборья легкой атлетики для девушек и юношей от 9 до 17 лет и старше.</w:t>
      </w:r>
    </w:p>
    <w:p w:rsidR="00A907FF" w:rsidRDefault="00A907FF" w:rsidP="00A907F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 xml:space="preserve">Классическими видами многоборья являются: у мужчин – десятиборье, у женщин – семиборье. В состав десятиборья входят: 100м, длина, ядро, высота, 400м, 110м с/б, диск, шест, копье, 1500м. У женщин в семиборье входят следующие виды: 100м с/б, ядро, высота, 200м, длина, копье, 800м. К неклассическим видам многоборья относятся: восьмиборье для юношей (100м, длина, высота. 400м, 110 м с/б, шест, диск, 1500м); пятиборье для девушек (100м, ядро, высота, длина, 800м). В спортивной классификации определены многоборья: у женщин пятиборье,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четырехборье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 и троеборье, у мужчин десятиборье, семиборье,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шестиборье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, пятиборье, </w:t>
      </w:r>
      <w:proofErr w:type="spellStart"/>
      <w:r>
        <w:rPr>
          <w:rFonts w:ascii="Arial" w:hAnsi="Arial" w:cs="Arial"/>
          <w:color w:val="4C505F"/>
          <w:sz w:val="23"/>
          <w:szCs w:val="23"/>
        </w:rPr>
        <w:t>четырехборье</w:t>
      </w:r>
      <w:proofErr w:type="spellEnd"/>
      <w:r>
        <w:rPr>
          <w:rFonts w:ascii="Arial" w:hAnsi="Arial" w:cs="Arial"/>
          <w:color w:val="4C505F"/>
          <w:sz w:val="23"/>
          <w:szCs w:val="23"/>
        </w:rPr>
        <w:t xml:space="preserve"> и троеборье.</w:t>
      </w:r>
    </w:p>
    <w:p w:rsidR="00A907FF" w:rsidRDefault="00A907FF" w:rsidP="00A907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Style w:val="a4"/>
          <w:rFonts w:ascii="Arial" w:hAnsi="Arial" w:cs="Arial"/>
          <w:color w:val="4C505F"/>
          <w:sz w:val="23"/>
          <w:szCs w:val="23"/>
        </w:rPr>
        <w:t>Основными формами</w:t>
      </w:r>
      <w:r>
        <w:rPr>
          <w:rFonts w:ascii="Arial" w:hAnsi="Arial" w:cs="Arial"/>
          <w:color w:val="4C505F"/>
          <w:sz w:val="23"/>
          <w:szCs w:val="23"/>
        </w:rPr>
        <w:t> осуществления спортивной подготовки являются: групповые и индивидуальные тренировочные и теоретические занятия;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мероприятия; тестирование и контроль</w:t>
      </w:r>
    </w:p>
    <w:p w:rsidR="00A907FF" w:rsidRDefault="00A907FF" w:rsidP="00A907F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Подготовка спортсменов проводиться в несколько этапов, которые имеют свои специфические особенности. Главным отличием является возраст и уровень физического развития обучающихся, зачисляемых в ту или иную группу подготовки. Основными показателями выполнения программных требований по уровню подготовленности обучающихся являются: выполнение нормативных требований по общей физической подготовке, специально - технической подготовке и спортивных разрядов Всероссийской Единой спортивной классификации в соответствии с требованиями по годам обучения.</w:t>
      </w:r>
    </w:p>
    <w:p w:rsidR="00332F9A" w:rsidRPr="00A907FF" w:rsidRDefault="00332F9A" w:rsidP="00A907FF">
      <w:bookmarkStart w:id="0" w:name="_GoBack"/>
      <w:bookmarkEnd w:id="0"/>
    </w:p>
    <w:sectPr w:rsidR="00332F9A" w:rsidRPr="00A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4"/>
    <w:rsid w:val="001A2AA2"/>
    <w:rsid w:val="00274AFD"/>
    <w:rsid w:val="00332F9A"/>
    <w:rsid w:val="003E52C4"/>
    <w:rsid w:val="00851156"/>
    <w:rsid w:val="00A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E2C7-A62A-431F-B930-1BB7984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2023-08-24T16:01:00Z</dcterms:created>
  <dcterms:modified xsi:type="dcterms:W3CDTF">2023-08-24T16:02:00Z</dcterms:modified>
</cp:coreProperties>
</file>