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5" w:rsidRDefault="00DB3275" w:rsidP="00DB3275">
      <w:pPr>
        <w:snapToGrid w:val="0"/>
        <w:ind w:left="5387"/>
        <w:jc w:val="center"/>
      </w:pPr>
      <w:r>
        <w:t>Приложение № 5/1</w:t>
      </w:r>
    </w:p>
    <w:p w:rsidR="00DB3275" w:rsidRPr="00F7051E" w:rsidRDefault="00DB3275" w:rsidP="00DB3275">
      <w:pPr>
        <w:snapToGrid w:val="0"/>
        <w:ind w:left="5387"/>
        <w:jc w:val="center"/>
      </w:pPr>
      <w:r w:rsidRPr="00A47C36">
        <w:t xml:space="preserve">к Правилам приема на </w:t>
      </w:r>
      <w:proofErr w:type="gramStart"/>
      <w:r w:rsidRPr="00A47C36">
        <w:t>обучение</w:t>
      </w:r>
      <w:proofErr w:type="gramEnd"/>
      <w:r w:rsidRPr="00A47C36">
        <w:t xml:space="preserve">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МАУДО «ДЮСШ «ЦФР»</w:t>
      </w:r>
      <w:r>
        <w:br/>
      </w:r>
      <w:r w:rsidRPr="009B53FB">
        <w:t xml:space="preserve">от </w:t>
      </w:r>
      <w:r w:rsidRPr="00AA2537">
        <w:t>«</w:t>
      </w:r>
      <w:r>
        <w:t>29</w:t>
      </w:r>
      <w:r w:rsidRPr="00AA2537">
        <w:t>»</w:t>
      </w:r>
      <w:r>
        <w:t xml:space="preserve"> августа</w:t>
      </w:r>
      <w:r w:rsidRPr="00AA2537">
        <w:t xml:space="preserve"> 20</w:t>
      </w:r>
      <w:r>
        <w:t>23</w:t>
      </w:r>
      <w:r w:rsidRPr="00AA2537">
        <w:t xml:space="preserve"> г.</w:t>
      </w:r>
      <w:r>
        <w:t xml:space="preserve"> № 83</w:t>
      </w:r>
    </w:p>
    <w:p w:rsidR="00DB3275" w:rsidRDefault="00DB3275" w:rsidP="00DB3275">
      <w:pPr>
        <w:snapToGrid w:val="0"/>
      </w:pPr>
    </w:p>
    <w:p w:rsidR="00DB3275" w:rsidRPr="00DA049A" w:rsidRDefault="00DB3275" w:rsidP="00DB3275">
      <w:pPr>
        <w:snapToGrid w:val="0"/>
        <w:ind w:left="1418" w:right="1416"/>
        <w:jc w:val="center"/>
        <w:rPr>
          <w:bCs/>
        </w:rPr>
      </w:pPr>
      <w:r w:rsidRPr="00947F3B">
        <w:rPr>
          <w:b/>
        </w:rPr>
        <w:t>ПОЛОЖЕНИЕ</w:t>
      </w:r>
      <w:r>
        <w:rPr>
          <w:b/>
        </w:rPr>
        <w:br/>
      </w:r>
      <w:r w:rsidRPr="00FD5762">
        <w:rPr>
          <w:b/>
        </w:rPr>
        <w:t>о</w:t>
      </w:r>
      <w:r>
        <w:rPr>
          <w:b/>
        </w:rPr>
        <w:t>б апелляционной комиссии</w:t>
      </w:r>
    </w:p>
    <w:p w:rsidR="00DB3275" w:rsidRPr="00DA049A" w:rsidRDefault="00DB3275" w:rsidP="00DB3275">
      <w:pPr>
        <w:snapToGrid w:val="0"/>
        <w:jc w:val="center"/>
        <w:rPr>
          <w:bCs/>
        </w:rPr>
      </w:pPr>
    </w:p>
    <w:p w:rsidR="00DB3275" w:rsidRPr="0034480D" w:rsidRDefault="00DB3275" w:rsidP="00DB3275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Общие положения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Апелляционная комиссия создается, реорганизуется, ликвидируется приказом МАУДО «ДЮСШ «ЦФР» (далее учреждение).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Апелляционная комиссия создается с целью рассмотрения апелляций, поданных по процедуре и (или) результатам индивидуального отбора поступающих в учреждение на </w:t>
      </w:r>
      <w:proofErr w:type="gramStart"/>
      <w:r>
        <w:rPr>
          <w:color w:val="000000" w:themeColor="text1"/>
        </w:rPr>
        <w:t>обучение</w:t>
      </w:r>
      <w:proofErr w:type="gramEnd"/>
      <w:r>
        <w:rPr>
          <w:color w:val="000000" w:themeColor="text1"/>
        </w:rPr>
        <w:t xml:space="preserve"> по дополнительным образовательным программам спортивной подготовки.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Апелляционная комиссия руководствуется </w:t>
      </w:r>
      <w:r w:rsidRPr="00944E5C">
        <w:rPr>
          <w:color w:val="000000" w:themeColor="text1"/>
        </w:rPr>
        <w:t>федеральными законами и иными нормативными правовыми актами Российской Федерации, законами и иными нормативными правовыми актами, уставом учреждения, настоящим Положением и иными локальными нормативными актами учреждения.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 Апелляционная комиссия осуществляет свою деятельность на основании принципов: гласности и открытости;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соблюдения правил поступающих и родителей (законных представителей), установленных законодательством РФ;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объективности оценки физических, психологических способностей и (или) двигательных умений поступающих необходимых для освоения дополнительных образовательных программ спортивной подготовки.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Порядок формирования и работы Апелляционной комиссию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Апелляционная комиссия создается сроком на 1 год. Персональный состав утверждается приказом учреждения.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2.2. Председателем апелляционной комиссии является руководитель Учреждения (в случае, если он не является председателем приемной комиссии) или лицо, им уполномоченное. Состав апелляционной комиссии (не </w:t>
      </w:r>
      <w:proofErr w:type="gramStart"/>
      <w:r>
        <w:t>менее трех человек) формируется</w:t>
      </w:r>
      <w:proofErr w:type="gramEnd"/>
      <w:r>
        <w:t xml:space="preserve"> из числа работников Учреждения, участвующих в реализации дополнительных образовательных программ спортивной подготовки и не входящих в состав приемной комиссии.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2.3. В состав Апелляционной комиссии входит председатель комиссии, заместитель председателя комиссии, секретарь комиссии, члены комиссии.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2.4. Изменения в состав Апелляционной комиссии вносятся приказом Учреждения о замене члена Апелляционной комиссии.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 Правила подачи и рассмотрения апелляций, порядок работы Апелляционной комиссии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3.1. 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lastRenderedPageBreak/>
        <w:t>3.3. Для рассмотрения апелляции секретарь приемной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3.4. Апелляционная комиссия принимает решение о целесообразности или нецелесообразности повторного проведения индивидуального отбора, в отношении которого подана апелляция.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3.5.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3.6. Решение Апелляционной комиссии оформляется протоколом, подписывается председателем комиссии и доводится до сведения подавших апелляцию законных представителей, поступающего под роспись в течение одного рабочего дня с момента принятия решения, после чего передается в приёмную комиссию. </w:t>
      </w:r>
    </w:p>
    <w:p w:rsidR="00DB3275" w:rsidRDefault="00DB3275" w:rsidP="00DB3275">
      <w:pPr>
        <w:tabs>
          <w:tab w:val="left" w:pos="1134"/>
        </w:tabs>
        <w:snapToGrid w:val="0"/>
        <w:ind w:firstLine="709"/>
        <w:jc w:val="both"/>
      </w:pPr>
      <w:r>
        <w:t xml:space="preserve">3.7. Повторное проведение индивидуального отбора поступающих проводится в течение трёх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DB3275" w:rsidRPr="004B4AA8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0000" w:themeColor="text1"/>
        </w:rPr>
      </w:pPr>
      <w:r>
        <w:t>3.8. Подача апелляции по процедуре проведения повторного индивидуального отбора не допускается.</w:t>
      </w:r>
    </w:p>
    <w:p w:rsidR="00DB3275" w:rsidRPr="00A56831" w:rsidRDefault="00DB3275" w:rsidP="00DB3275">
      <w:pPr>
        <w:tabs>
          <w:tab w:val="left" w:pos="1134"/>
        </w:tabs>
        <w:snapToGrid w:val="0"/>
        <w:ind w:firstLine="709"/>
        <w:jc w:val="both"/>
        <w:rPr>
          <w:color w:val="00B050"/>
        </w:rPr>
      </w:pPr>
    </w:p>
    <w:p w:rsidR="00C953B5" w:rsidRDefault="00C953B5" w:rsidP="00DB3275">
      <w:pPr>
        <w:tabs>
          <w:tab w:val="left" w:pos="1134"/>
        </w:tabs>
        <w:ind w:firstLine="709"/>
      </w:pPr>
    </w:p>
    <w:sectPr w:rsidR="00C953B5" w:rsidSect="00C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862"/>
        </w:tabs>
        <w:ind w:left="2926" w:hanging="5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55C2A74"/>
    <w:multiLevelType w:val="multilevel"/>
    <w:tmpl w:val="CBAAC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75"/>
    <w:rsid w:val="00007ECD"/>
    <w:rsid w:val="000A300A"/>
    <w:rsid w:val="00143559"/>
    <w:rsid w:val="002B56F9"/>
    <w:rsid w:val="004067D1"/>
    <w:rsid w:val="005C7382"/>
    <w:rsid w:val="006D1637"/>
    <w:rsid w:val="006D1AA2"/>
    <w:rsid w:val="00723ED4"/>
    <w:rsid w:val="00777408"/>
    <w:rsid w:val="007E3034"/>
    <w:rsid w:val="00BF78EF"/>
    <w:rsid w:val="00C3111A"/>
    <w:rsid w:val="00C90636"/>
    <w:rsid w:val="00C953B5"/>
    <w:rsid w:val="00CA0616"/>
    <w:rsid w:val="00CC2DB1"/>
    <w:rsid w:val="00D62F39"/>
    <w:rsid w:val="00DB3275"/>
    <w:rsid w:val="00F5394B"/>
    <w:rsid w:val="00F61ABC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ECD"/>
    <w:pPr>
      <w:keepNext/>
      <w:widowControl w:val="0"/>
      <w:suppressAutoHyphens/>
      <w:spacing w:before="120" w:after="60"/>
      <w:jc w:val="center"/>
      <w:outlineLvl w:val="0"/>
    </w:pPr>
    <w:rPr>
      <w:rFonts w:ascii="Arial" w:eastAsiaTheme="majorEastAsia" w:hAnsi="Arial" w:cs="Arial"/>
      <w:b/>
      <w:caps/>
      <w:kern w:val="2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007ECD"/>
    <w:pPr>
      <w:keepNext/>
      <w:widowControl w:val="0"/>
      <w:suppressAutoHyphens/>
      <w:spacing w:before="120" w:after="60"/>
      <w:jc w:val="center"/>
      <w:outlineLvl w:val="1"/>
    </w:pPr>
    <w:rPr>
      <w:rFonts w:ascii="Arial" w:eastAsiaTheme="majorEastAsia" w:hAnsi="Arial" w:cs="Arial"/>
      <w:b/>
      <w:i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7ECD"/>
    <w:pPr>
      <w:keepNext/>
      <w:widowControl w:val="0"/>
      <w:tabs>
        <w:tab w:val="left" w:pos="9643"/>
      </w:tabs>
      <w:suppressAutoHyphens/>
      <w:spacing w:before="120" w:after="60"/>
      <w:outlineLvl w:val="2"/>
    </w:pPr>
    <w:rPr>
      <w:rFonts w:ascii="Arial" w:eastAsiaTheme="majorEastAsia" w:hAnsi="Arial" w:cs="Arial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07ECD"/>
    <w:pPr>
      <w:keepNext/>
      <w:widowControl w:val="0"/>
      <w:suppressAutoHyphens/>
      <w:spacing w:before="60"/>
      <w:outlineLvl w:val="3"/>
    </w:pPr>
    <w:rPr>
      <w:rFonts w:ascii="Arial" w:eastAsiaTheme="majorEastAsia" w:hAnsi="Arial" w:cs="Arial"/>
      <w:bCs/>
      <w:sz w:val="20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07ECD"/>
    <w:pPr>
      <w:widowControl w:val="0"/>
      <w:suppressAutoHyphens/>
      <w:ind w:firstLine="709"/>
      <w:outlineLvl w:val="4"/>
    </w:pPr>
    <w:rPr>
      <w:rFonts w:eastAsiaTheme="majorEastAsia" w:cs="Mangal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6"/>
    </w:pPr>
    <w:rPr>
      <w:rFonts w:asciiTheme="minorHAnsi" w:eastAsiaTheme="minorEastAsia" w:hAnsiTheme="minorHAnsi" w:cstheme="minorBidi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7"/>
    </w:pPr>
    <w:rPr>
      <w:rFonts w:asciiTheme="minorHAnsi" w:eastAsiaTheme="minorEastAsia" w:hAnsiTheme="minorHAnsi" w:cstheme="minorBidi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2DB1"/>
    <w:rPr>
      <w:i/>
      <w:iCs/>
    </w:rPr>
  </w:style>
  <w:style w:type="paragraph" w:styleId="a4">
    <w:name w:val="List Paragraph"/>
    <w:basedOn w:val="a"/>
    <w:uiPriority w:val="34"/>
    <w:qFormat/>
    <w:rsid w:val="006D1637"/>
    <w:pPr>
      <w:widowControl w:val="0"/>
      <w:suppressAutoHyphens/>
      <w:ind w:left="708" w:firstLine="709"/>
    </w:pPr>
    <w:rPr>
      <w:rFonts w:cs="Mangal"/>
      <w:sz w:val="20"/>
      <w:szCs w:val="20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0A300A"/>
    <w:pPr>
      <w:widowControl w:val="0"/>
      <w:suppressAutoHyphens/>
      <w:ind w:left="240" w:hanging="240"/>
    </w:pPr>
    <w:rPr>
      <w:rFonts w:cs="Mangal"/>
      <w:sz w:val="20"/>
      <w:szCs w:val="21"/>
      <w:lang w:eastAsia="zh-CN"/>
    </w:rPr>
  </w:style>
  <w:style w:type="paragraph" w:styleId="a5">
    <w:name w:val="index heading"/>
    <w:basedOn w:val="a"/>
    <w:rsid w:val="00143559"/>
    <w:pPr>
      <w:widowControl w:val="0"/>
      <w:suppressLineNumbers/>
      <w:suppressAutoHyphens/>
      <w:ind w:firstLine="709"/>
    </w:pPr>
    <w:rPr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1435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A300A"/>
    <w:pPr>
      <w:widowControl w:val="0"/>
      <w:suppressAutoHyphens/>
      <w:spacing w:after="120"/>
      <w:ind w:firstLine="709"/>
    </w:pPr>
    <w:rPr>
      <w:rFonts w:cs="Mangal"/>
      <w:sz w:val="20"/>
      <w:szCs w:val="21"/>
      <w:lang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300A"/>
    <w:rPr>
      <w:rFonts w:cs="Mangal"/>
      <w:szCs w:val="21"/>
    </w:rPr>
  </w:style>
  <w:style w:type="paragraph" w:customStyle="1" w:styleId="Caption">
    <w:name w:val="Caption"/>
    <w:basedOn w:val="a"/>
    <w:rsid w:val="00143559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rsid w:val="00143559"/>
    <w:pPr>
      <w:suppressLineNumbers/>
    </w:pPr>
  </w:style>
  <w:style w:type="character" w:customStyle="1" w:styleId="10">
    <w:name w:val="Заголовок 1 Знак"/>
    <w:link w:val="1"/>
    <w:rsid w:val="00D62F39"/>
    <w:rPr>
      <w:rFonts w:ascii="Arial" w:eastAsiaTheme="majorEastAsia" w:hAnsi="Arial" w:cs="Arial"/>
      <w:b/>
      <w:caps/>
      <w:kern w:val="2"/>
      <w:sz w:val="28"/>
      <w:lang w:val="en-US" w:eastAsia="zh-CN"/>
    </w:rPr>
  </w:style>
  <w:style w:type="character" w:customStyle="1" w:styleId="20">
    <w:name w:val="Заголовок 2 Знак"/>
    <w:link w:val="2"/>
    <w:rsid w:val="00D62F39"/>
    <w:rPr>
      <w:rFonts w:ascii="Arial" w:eastAsiaTheme="majorEastAsia" w:hAnsi="Arial" w:cs="Arial"/>
      <w:b/>
      <w:i/>
      <w:lang w:eastAsia="zh-CN"/>
    </w:rPr>
  </w:style>
  <w:style w:type="character" w:customStyle="1" w:styleId="30">
    <w:name w:val="Заголовок 3 Знак"/>
    <w:link w:val="3"/>
    <w:rsid w:val="00D62F39"/>
    <w:rPr>
      <w:rFonts w:ascii="Arial" w:eastAsiaTheme="majorEastAsia" w:hAnsi="Arial" w:cs="Arial"/>
      <w:lang w:eastAsia="zh-CN"/>
    </w:rPr>
  </w:style>
  <w:style w:type="character" w:customStyle="1" w:styleId="40">
    <w:name w:val="Заголовок 4 Знак"/>
    <w:link w:val="4"/>
    <w:rsid w:val="00D62F39"/>
    <w:rPr>
      <w:rFonts w:ascii="Arial" w:eastAsiaTheme="majorEastAsia" w:hAnsi="Arial" w:cs="Arial"/>
      <w:bCs/>
      <w:szCs w:val="28"/>
      <w:lang w:eastAsia="zh-CN"/>
    </w:rPr>
  </w:style>
  <w:style w:type="paragraph" w:styleId="aa">
    <w:name w:val="Title"/>
    <w:basedOn w:val="a"/>
    <w:link w:val="ab"/>
    <w:uiPriority w:val="10"/>
    <w:qFormat/>
    <w:rsid w:val="00F5394B"/>
    <w:pPr>
      <w:widowControl w:val="0"/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b">
    <w:name w:val="Название Знак"/>
    <w:basedOn w:val="a0"/>
    <w:link w:val="aa"/>
    <w:uiPriority w:val="10"/>
    <w:rsid w:val="00F5394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CC2DB1"/>
    <w:rPr>
      <w:rFonts w:eastAsiaTheme="majorEastAsia" w:cs="Mangal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C2DB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C2DB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C2DB1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ac">
    <w:name w:val="caption"/>
    <w:basedOn w:val="a"/>
    <w:qFormat/>
    <w:rsid w:val="00007ECD"/>
    <w:pPr>
      <w:widowControl w:val="0"/>
      <w:suppressLineNumbers/>
      <w:suppressAutoHyphens/>
      <w:spacing w:before="120" w:after="120"/>
      <w:ind w:firstLine="709"/>
    </w:pPr>
    <w:rPr>
      <w:rFonts w:cs="DejaVu Sans"/>
      <w:i/>
      <w:iCs/>
      <w:lang w:eastAsia="zh-CN"/>
    </w:rPr>
  </w:style>
  <w:style w:type="character" w:styleId="ad">
    <w:name w:val="Strong"/>
    <w:uiPriority w:val="22"/>
    <w:qFormat/>
    <w:rsid w:val="00CC2DB1"/>
    <w:rPr>
      <w:b/>
      <w:bCs/>
    </w:rPr>
  </w:style>
  <w:style w:type="character" w:customStyle="1" w:styleId="ae">
    <w:name w:val="Выделение жирным"/>
    <w:rsid w:val="00143559"/>
    <w:rPr>
      <w:b/>
      <w:bCs/>
    </w:rPr>
  </w:style>
  <w:style w:type="paragraph" w:customStyle="1" w:styleId="af">
    <w:name w:val="Заголовок таблицы"/>
    <w:basedOn w:val="a9"/>
    <w:rsid w:val="001435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2023-08-31T11:55:00Z</dcterms:created>
  <dcterms:modified xsi:type="dcterms:W3CDTF">2023-08-31T11:56:00Z</dcterms:modified>
</cp:coreProperties>
</file>